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B04" w:rsidRDefault="009D3B04" w:rsidP="00FE7FF8">
      <w:pPr>
        <w:pStyle w:val="Ttulo1"/>
        <w:rPr>
          <w:noProof/>
          <w:lang w:eastAsia="es-AR"/>
        </w:rPr>
      </w:pPr>
      <w:bookmarkStart w:id="0" w:name="_GoBack"/>
      <w:bookmarkEnd w:id="0"/>
      <w:r>
        <w:rPr>
          <w:noProof/>
          <w:lang w:eastAsia="es-AR"/>
        </w:rPr>
        <w:t>UNIDAD DE DESARROLLO CURRICULAR Y FORMACIÓN DOCENTE</w:t>
      </w:r>
    </w:p>
    <w:p w:rsidR="009D3B04" w:rsidRDefault="009D3B04" w:rsidP="009D3B04">
      <w:pPr>
        <w:jc w:val="center"/>
        <w:rPr>
          <w:rFonts w:ascii="Arial" w:hAnsi="Arial" w:cs="Arial"/>
          <w:b/>
          <w:noProof/>
          <w:color w:val="0F243E" w:themeColor="text2" w:themeShade="80"/>
          <w:sz w:val="28"/>
          <w:szCs w:val="28"/>
          <w:lang w:eastAsia="es-AR"/>
        </w:rPr>
      </w:pPr>
    </w:p>
    <w:p w:rsidR="009D3B04" w:rsidRPr="00B3659A" w:rsidRDefault="009D3B04" w:rsidP="009D3B04">
      <w:pPr>
        <w:jc w:val="center"/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</w:pPr>
      <w:r w:rsidRPr="00B3659A">
        <w:rPr>
          <w:rFonts w:ascii="Arial" w:hAnsi="Arial" w:cs="Arial"/>
          <w:b/>
          <w:noProof/>
          <w:color w:val="244061" w:themeColor="accent1" w:themeShade="80"/>
          <w:sz w:val="28"/>
          <w:szCs w:val="28"/>
          <w:lang w:eastAsia="es-AR"/>
        </w:rPr>
        <w:t>PLAN DE ASIGNATURA</w:t>
      </w:r>
    </w:p>
    <w:p w:rsidR="009D3B04" w:rsidRPr="0086312B" w:rsidRDefault="009D3B04" w:rsidP="009D3B04">
      <w:pPr>
        <w:rPr>
          <w:rFonts w:ascii="Arial" w:hAnsi="Arial" w:cs="Arial"/>
          <w:b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1710"/>
        <w:gridCol w:w="1298"/>
        <w:gridCol w:w="1243"/>
        <w:gridCol w:w="1470"/>
        <w:gridCol w:w="280"/>
        <w:gridCol w:w="807"/>
        <w:gridCol w:w="2246"/>
      </w:tblGrid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A56481">
              <w:rPr>
                <w:rFonts w:ascii="Arial" w:hAnsi="Arial" w:cs="Arial"/>
                <w:b/>
                <w:color w:val="0F243E" w:themeColor="text2" w:themeShade="80"/>
              </w:rPr>
              <w:t>PROGRAMA:</w:t>
            </w:r>
            <w:r w:rsidR="00A00901">
              <w:rPr>
                <w:rFonts w:ascii="Arial" w:hAnsi="Arial" w:cs="Arial"/>
                <w:b/>
                <w:color w:val="0F243E" w:themeColor="text2" w:themeShade="80"/>
              </w:rPr>
              <w:t xml:space="preserve"> DERECHO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9606" w:type="dxa"/>
            <w:gridSpan w:val="7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:rsidR="009D3B04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C32202" w:rsidRDefault="009D3B04" w:rsidP="00CC21F3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C32202">
              <w:rPr>
                <w:rFonts w:ascii="Arial" w:hAnsi="Arial" w:cs="Arial"/>
                <w:b/>
                <w:color w:val="FFFFFF" w:themeColor="background1"/>
              </w:rPr>
              <w:t>DATOS GENERALES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31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COMPONENTE:</w:t>
            </w:r>
          </w:p>
          <w:p w:rsidR="009D3B04" w:rsidRPr="002D3F0D" w:rsidRDefault="0061049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Teórico Práctico.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CAMPO:</w:t>
            </w:r>
            <w:r w:rsidR="00610494">
              <w:rPr>
                <w:rFonts w:ascii="Arial" w:hAnsi="Arial" w:cs="Arial"/>
                <w:color w:val="0F243E" w:themeColor="text2" w:themeShade="80"/>
              </w:rPr>
              <w:t xml:space="preserve"> Modular.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ÁREA/MÓDULO</w:t>
            </w:r>
          </w:p>
          <w:p w:rsidR="00610494" w:rsidRPr="002D3F0D" w:rsidRDefault="0061049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Derecho Público.</w:t>
            </w:r>
          </w:p>
        </w:tc>
        <w:tc>
          <w:tcPr>
            <w:tcW w:w="336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C53FE2">
              <w:rPr>
                <w:rFonts w:ascii="Arial" w:hAnsi="Arial" w:cs="Arial"/>
                <w:color w:val="0F243E" w:themeColor="text2" w:themeShade="80"/>
              </w:rPr>
              <w:t>SEMESTRE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  <w:p w:rsidR="00610494" w:rsidRPr="00C53FE2" w:rsidRDefault="0061049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Segundo Semestre.</w:t>
            </w:r>
          </w:p>
        </w:tc>
      </w:tr>
      <w:tr w:rsidR="009D3B04" w:rsidRPr="0086312B" w:rsidTr="00CC21F3">
        <w:tc>
          <w:tcPr>
            <w:tcW w:w="9606" w:type="dxa"/>
            <w:gridSpan w:val="7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ASIGNATURA/MÓDULO/SEMINARIO</w:t>
            </w:r>
            <w:r w:rsidR="00610494" w:rsidRPr="00F660FA">
              <w:rPr>
                <w:rFonts w:ascii="Arial" w:hAnsi="Arial" w:cs="Arial"/>
                <w:b/>
                <w:color w:val="0F243E" w:themeColor="text2" w:themeShade="80"/>
              </w:rPr>
              <w:t>: TEORÍA</w:t>
            </w:r>
            <w:r w:rsidR="00610494">
              <w:rPr>
                <w:rFonts w:ascii="Arial" w:hAnsi="Arial" w:cs="Arial"/>
                <w:b/>
                <w:color w:val="0F243E" w:themeColor="text2" w:themeShade="80"/>
              </w:rPr>
              <w:t xml:space="preserve"> GENERAL DEL PROCESO.</w:t>
            </w:r>
          </w:p>
          <w:p w:rsidR="009D3B04" w:rsidRPr="00A56481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5955" w:type="dxa"/>
            <w:gridSpan w:val="4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F660FA">
              <w:rPr>
                <w:rFonts w:ascii="Arial" w:hAnsi="Arial" w:cs="Arial"/>
                <w:b/>
                <w:color w:val="0F243E" w:themeColor="text2" w:themeShade="80"/>
              </w:rPr>
              <w:t>ACTA DE APROBACIÓN DEL PLAN DE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3651" w:type="dxa"/>
            <w:gridSpan w:val="3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RPr="0086312B" w:rsidTr="00CC21F3">
        <w:tc>
          <w:tcPr>
            <w:tcW w:w="1650" w:type="dxa"/>
            <w:tcBorders>
              <w:righ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MODALIDAD:</w:t>
            </w:r>
          </w:p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</w:t>
            </w:r>
          </w:p>
        </w:tc>
        <w:tc>
          <w:tcPr>
            <w:tcW w:w="2711" w:type="dxa"/>
            <w:gridSpan w:val="2"/>
            <w:tcBorders>
              <w:left w:val="single" w:sz="4" w:space="0" w:color="auto"/>
            </w:tcBorders>
          </w:tcPr>
          <w:p w:rsidR="009D3B04" w:rsidRPr="0061049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PRESENCIAL   </w:t>
            </w:r>
            <w:r w:rsidR="00610494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2835" w:type="dxa"/>
            <w:gridSpan w:val="3"/>
            <w:tcBorders>
              <w:left w:val="single" w:sz="4" w:space="0" w:color="auto"/>
            </w:tcBorders>
          </w:tcPr>
          <w:p w:rsidR="009D3B04" w:rsidRPr="002D3F0D" w:rsidRDefault="009D3B04" w:rsidP="00FE7FF8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VIRTUAL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  <w:tc>
          <w:tcPr>
            <w:tcW w:w="2410" w:type="dxa"/>
            <w:tcBorders>
              <w:left w:val="single" w:sz="4" w:space="0" w:color="auto"/>
            </w:tcBorders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BIMODAL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4257"/>
        <w:gridCol w:w="907"/>
        <w:gridCol w:w="3890"/>
      </w:tblGrid>
      <w:tr w:rsidR="009D3B04" w:rsidRPr="0086312B" w:rsidTr="00CC21F3">
        <w:tc>
          <w:tcPr>
            <w:tcW w:w="5495" w:type="dxa"/>
            <w:gridSpan w:val="2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CÓDIGO ASIGNATURA:</w:t>
            </w:r>
          </w:p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 </w:t>
            </w:r>
          </w:p>
        </w:tc>
        <w:tc>
          <w:tcPr>
            <w:tcW w:w="4111" w:type="dxa"/>
          </w:tcPr>
          <w:p w:rsidR="009D3B04" w:rsidRPr="0086312B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N° </w:t>
            </w:r>
            <w:r w:rsidRPr="0086312B">
              <w:rPr>
                <w:rFonts w:ascii="Arial" w:hAnsi="Arial" w:cs="Arial"/>
                <w:b/>
                <w:color w:val="0F243E" w:themeColor="text2" w:themeShade="80"/>
              </w:rPr>
              <w:t xml:space="preserve">CRÉDITOS:  </w:t>
            </w:r>
          </w:p>
        </w:tc>
      </w:tr>
      <w:tr w:rsidR="009D3B04" w:rsidRPr="0086312B" w:rsidTr="00CC21F3">
        <w:tc>
          <w:tcPr>
            <w:tcW w:w="4503" w:type="dxa"/>
          </w:tcPr>
          <w:p w:rsidR="0061049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Elaboración:</w:t>
            </w:r>
          </w:p>
          <w:p w:rsidR="00610494" w:rsidRDefault="0061049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10494" w:rsidRPr="00610494" w:rsidRDefault="0061049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Noviembre </w:t>
            </w:r>
            <w:r w:rsidR="006A4B20">
              <w:rPr>
                <w:rFonts w:ascii="Arial" w:hAnsi="Arial" w:cs="Arial"/>
                <w:color w:val="0F243E" w:themeColor="text2" w:themeShade="80"/>
              </w:rPr>
              <w:t>4</w:t>
            </w:r>
            <w:r>
              <w:rPr>
                <w:rFonts w:ascii="Arial" w:hAnsi="Arial" w:cs="Arial"/>
                <w:color w:val="0F243E" w:themeColor="text2" w:themeShade="80"/>
              </w:rPr>
              <w:t xml:space="preserve"> de 2015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  <w:tc>
          <w:tcPr>
            <w:tcW w:w="5103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Fecha de Actualización:</w:t>
            </w:r>
          </w:p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610494" w:rsidRPr="00610494" w:rsidRDefault="0061049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Noviembre 9 de 2015</w:t>
            </w: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Borders>
          <w:top w:val="single" w:sz="4" w:space="0" w:color="0F243E" w:themeColor="text2" w:themeShade="80"/>
          <w:left w:val="single" w:sz="4" w:space="0" w:color="0F243E" w:themeColor="text2" w:themeShade="80"/>
          <w:bottom w:val="single" w:sz="4" w:space="0" w:color="0F243E" w:themeColor="text2" w:themeShade="80"/>
          <w:right w:val="single" w:sz="4" w:space="0" w:color="0F243E" w:themeColor="text2" w:themeShade="80"/>
          <w:insideH w:val="single" w:sz="4" w:space="0" w:color="0F243E" w:themeColor="text2" w:themeShade="80"/>
          <w:insideV w:val="single" w:sz="4" w:space="0" w:color="0F243E" w:themeColor="text2" w:themeShade="80"/>
        </w:tblBorders>
        <w:tblLook w:val="04A0" w:firstRow="1" w:lastRow="0" w:firstColumn="1" w:lastColumn="0" w:noHBand="0" w:noVBand="1"/>
      </w:tblPr>
      <w:tblGrid>
        <w:gridCol w:w="2816"/>
        <w:gridCol w:w="2658"/>
        <w:gridCol w:w="3580"/>
      </w:tblGrid>
      <w:tr w:rsidR="009D3B04" w:rsidRPr="0086312B" w:rsidTr="00CC21F3">
        <w:tc>
          <w:tcPr>
            <w:tcW w:w="9606" w:type="dxa"/>
            <w:gridSpan w:val="3"/>
            <w:shd w:val="clear" w:color="auto" w:fill="365F91" w:themeFill="accent1" w:themeFillShade="BF"/>
          </w:tcPr>
          <w:p w:rsidR="009D3B04" w:rsidRPr="0086312B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>TIEMPO DE ACOMPAÑAMIENTO DOCENTE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 Horas Semana: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 xml:space="preserve">  </w:t>
            </w:r>
            <w:r w:rsidR="00E91A8F">
              <w:rPr>
                <w:rFonts w:ascii="Arial" w:hAnsi="Arial" w:cs="Arial"/>
                <w:color w:val="0F243E" w:themeColor="text2" w:themeShade="80"/>
              </w:rPr>
              <w:t xml:space="preserve"> 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>5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 xml:space="preserve"> 20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>Horas Práctica:</w:t>
            </w:r>
          </w:p>
        </w:tc>
      </w:tr>
      <w:tr w:rsidR="009D3B04" w:rsidRPr="002D3F0D" w:rsidTr="00CC21F3">
        <w:tc>
          <w:tcPr>
            <w:tcW w:w="2943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Presenciales:   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>5</w:t>
            </w:r>
          </w:p>
        </w:tc>
        <w:tc>
          <w:tcPr>
            <w:tcW w:w="2835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H. Tutoría:  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>10</w:t>
            </w:r>
          </w:p>
        </w:tc>
        <w:tc>
          <w:tcPr>
            <w:tcW w:w="3828" w:type="dxa"/>
          </w:tcPr>
          <w:p w:rsidR="009D3B04" w:rsidRPr="002D3F0D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color w:val="0F243E" w:themeColor="text2" w:themeShade="80"/>
              </w:rPr>
              <w:t xml:space="preserve">Total Horas Semestre: </w:t>
            </w:r>
          </w:p>
        </w:tc>
      </w:tr>
    </w:tbl>
    <w:p w:rsidR="009D3B04" w:rsidRPr="002D3F0D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94"/>
        <w:gridCol w:w="2677"/>
        <w:gridCol w:w="394"/>
        <w:gridCol w:w="3089"/>
      </w:tblGrid>
      <w:tr w:rsidR="009D3B04" w:rsidTr="00CC21F3">
        <w:tc>
          <w:tcPr>
            <w:tcW w:w="9606" w:type="dxa"/>
            <w:gridSpan w:val="4"/>
            <w:shd w:val="clear" w:color="auto" w:fill="365F91" w:themeFill="accent1" w:themeFillShade="BF"/>
          </w:tcPr>
          <w:p w:rsidR="009D3B04" w:rsidRPr="002D3F0D" w:rsidRDefault="009D3B04" w:rsidP="00CC21F3">
            <w:pPr>
              <w:jc w:val="center"/>
              <w:rPr>
                <w:rFonts w:ascii="Arial" w:hAnsi="Arial" w:cs="Arial"/>
                <w:b/>
                <w:color w:val="0F243E" w:themeColor="text2" w:themeShade="80"/>
              </w:rPr>
            </w:pPr>
            <w:r w:rsidRPr="002D3F0D">
              <w:rPr>
                <w:rFonts w:ascii="Arial" w:hAnsi="Arial" w:cs="Arial"/>
                <w:b/>
                <w:color w:val="FFFFFF" w:themeColor="background1"/>
              </w:rPr>
              <w:t xml:space="preserve">TIEMPO DE TRABAJO INDEPENDIENTE DEL ESTUDIANTE </w:t>
            </w:r>
          </w:p>
        </w:tc>
      </w:tr>
      <w:tr w:rsidR="009D3B04" w:rsidTr="00CC21F3">
        <w:tc>
          <w:tcPr>
            <w:tcW w:w="3060" w:type="dxa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Semana: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 xml:space="preserve"> 10</w:t>
            </w:r>
          </w:p>
        </w:tc>
        <w:tc>
          <w:tcPr>
            <w:tcW w:w="3285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Mes: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 xml:space="preserve">  40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Horas Semestre:</w:t>
            </w:r>
          </w:p>
        </w:tc>
      </w:tr>
      <w:tr w:rsidR="009D3B04" w:rsidTr="00CC21F3">
        <w:tc>
          <w:tcPr>
            <w:tcW w:w="5920" w:type="dxa"/>
            <w:gridSpan w:val="2"/>
            <w:tcBorders>
              <w:righ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Total de Tiempo de Trabajo Académico</w:t>
            </w:r>
            <w:r w:rsidR="00764DF0">
              <w:rPr>
                <w:rFonts w:ascii="Arial" w:hAnsi="Arial" w:cs="Arial"/>
                <w:color w:val="0F243E" w:themeColor="text2" w:themeShade="80"/>
              </w:rPr>
              <w:t xml:space="preserve"> 60</w:t>
            </w:r>
          </w:p>
        </w:tc>
        <w:tc>
          <w:tcPr>
            <w:tcW w:w="3686" w:type="dxa"/>
            <w:gridSpan w:val="2"/>
            <w:tcBorders>
              <w:left w:val="sing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N° de Semanas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358"/>
        <w:gridCol w:w="3462"/>
        <w:gridCol w:w="4234"/>
      </w:tblGrid>
      <w:tr w:rsidR="009D3B04" w:rsidTr="00CC21F3">
        <w:tc>
          <w:tcPr>
            <w:tcW w:w="1384" w:type="dxa"/>
            <w:tcBorders>
              <w:righ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lastRenderedPageBreak/>
              <w:t>Jornada</w:t>
            </w:r>
          </w:p>
        </w:tc>
        <w:tc>
          <w:tcPr>
            <w:tcW w:w="3701" w:type="dxa"/>
            <w:tcBorders>
              <w:left w:val="double" w:sz="4" w:space="0" w:color="auto"/>
            </w:tcBorders>
          </w:tcPr>
          <w:p w:rsidR="009D3B04" w:rsidRPr="00C56970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Diurna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 </w:t>
            </w:r>
            <w:r w:rsidR="00C56970">
              <w:rPr>
                <w:rFonts w:ascii="Arial" w:hAnsi="Arial" w:cs="Arial"/>
                <w:b/>
                <w:color w:val="0F243E" w:themeColor="text2" w:themeShade="80"/>
              </w:rPr>
              <w:t>X</w:t>
            </w:r>
          </w:p>
        </w:tc>
        <w:tc>
          <w:tcPr>
            <w:tcW w:w="4521" w:type="dxa"/>
            <w:tcBorders>
              <w:left w:val="double" w:sz="4" w:space="0" w:color="auto"/>
            </w:tcBorders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Nocturna</w:t>
            </w:r>
            <w:r w:rsidR="00FE7FF8">
              <w:rPr>
                <w:rFonts w:ascii="Arial" w:hAnsi="Arial" w:cs="Arial"/>
                <w:color w:val="0F243E" w:themeColor="text2" w:themeShade="80"/>
              </w:rPr>
              <w:t xml:space="preserve">      </w:t>
            </w:r>
            <w:r w:rsidR="00FE7FF8">
              <w:rPr>
                <w:rFonts w:ascii="Arial" w:hAnsi="Arial" w:cs="Arial"/>
                <w:color w:val="0F243E" w:themeColor="text2" w:themeShade="80"/>
              </w:rPr>
              <w:sym w:font="Wingdings" w:char="F06F"/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b/>
          <w:i/>
          <w:color w:val="0F243E" w:themeColor="text2" w:themeShade="80"/>
        </w:rPr>
      </w:pPr>
    </w:p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9D3B04">
        <w:tc>
          <w:tcPr>
            <w:tcW w:w="9054" w:type="dxa"/>
            <w:shd w:val="clear" w:color="auto" w:fill="365F91" w:themeFill="accent1" w:themeFillShade="BF"/>
          </w:tcPr>
          <w:p w:rsidR="009D3B04" w:rsidRPr="008618E3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JUSTIFICACIÓN:</w:t>
            </w:r>
          </w:p>
        </w:tc>
      </w:tr>
      <w:tr w:rsidR="009D3B04" w:rsidTr="009D3B04">
        <w:tc>
          <w:tcPr>
            <w:tcW w:w="9054" w:type="dxa"/>
          </w:tcPr>
          <w:p w:rsidR="009D3B04" w:rsidRDefault="006E3476" w:rsidP="005355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Bajo la estructura cierta que el conjunto normativo que regula la coexistencia del hombre en sociedad se establece a partir de dos formas básicas: El derecho Sustancial, </w:t>
            </w:r>
            <w:r w:rsidR="000626A7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el cual contiene en sus normas los derechos y obligaciones de toda persona en sociedad. De otro lado el Derecho Procesal </w:t>
            </w:r>
            <w:r w:rsidR="00535513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tiene un doble propósito, de un lado hacer efectivo el derecho sustancial, de otro regular la función jurisdiccional del Estado.</w:t>
            </w:r>
          </w:p>
          <w:p w:rsidR="009431FC" w:rsidRDefault="009431FC" w:rsidP="005355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  <w:p w:rsidR="00F82DE4" w:rsidRDefault="00F82DE4" w:rsidP="005355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Luego no es posible deslindar uno del otro, se complementan y al actuar al unísono se logra su objetivo, propender por la paz y armonía sociales.</w:t>
            </w:r>
          </w:p>
          <w:p w:rsidR="009431FC" w:rsidRDefault="009431FC" w:rsidP="005355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  <w:p w:rsidR="009431FC" w:rsidRPr="00C56970" w:rsidRDefault="009431FC" w:rsidP="005355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El componente procesal inicia su estudio a partir de la asignatura Teoría General del Proceso. Su estudio y comprensión permite estructurar en el futuro abogado el conocimiento jurídico y destrezas necesarias que le permite afrontar luego su vida profesional de manera seria.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OBJETIVO GENERAL DE LA ASIGNATURA:</w:t>
            </w:r>
          </w:p>
        </w:tc>
      </w:tr>
      <w:tr w:rsidR="009D3B04" w:rsidTr="00CC21F3">
        <w:tc>
          <w:tcPr>
            <w:tcW w:w="9740" w:type="dxa"/>
          </w:tcPr>
          <w:p w:rsidR="009D3B04" w:rsidRDefault="009431FC" w:rsidP="00F407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Le permite al estudiante de pregrado conocer los fundame</w:t>
            </w:r>
            <w:r w:rsidR="00F40713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ntos Constitucionales y legales, de igual manera los principios fundamentales y reglas técnicas de procedimiento que rigen las formas autocompositivas y heterocompositivas de solución al conflicto.</w:t>
            </w:r>
          </w:p>
          <w:p w:rsidR="00F40713" w:rsidRDefault="00F40713" w:rsidP="00F407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</w:p>
          <w:p w:rsidR="00F40713" w:rsidRPr="009431FC" w:rsidRDefault="00F40713" w:rsidP="00F407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El conocimiento del Derecho Procesal no solo permite al abogado el manejo adecuado del proceso judicial, le permite evitarlo a partir de la utilización de otras formas de solución al conflicto, los denominados M.A.S.C.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METAS DE APRENDIZAJE:</w:t>
            </w:r>
          </w:p>
        </w:tc>
      </w:tr>
      <w:tr w:rsidR="009D3B04" w:rsidTr="00CC21F3">
        <w:tc>
          <w:tcPr>
            <w:tcW w:w="9740" w:type="dxa"/>
          </w:tcPr>
          <w:p w:rsidR="009D3B04" w:rsidRPr="00F40713" w:rsidRDefault="00F40713" w:rsidP="00F4071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Sin  consideración a la jurisdicción o especialidad jurisdiccional en el cual surgió el conflict</w:t>
            </w:r>
            <w:r w:rsidR="0063045C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o, el futuro abogado</w:t>
            </w: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debe conocer y saber aplicar</w:t>
            </w:r>
            <w:r w:rsidR="0063045C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los conceptos básicos inherentes a la Jurisdicción y Competencia, acción y contradicción, además el origen y aplicación </w:t>
            </w:r>
            <w:proofErr w:type="spellStart"/>
            <w:r w:rsidR="0063045C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>e</w:t>
            </w:r>
            <w:proofErr w:type="spellEnd"/>
            <w:r w:rsidR="0063045C"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las demás formas de solución al conflicto.</w:t>
            </w:r>
            <w:r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  <w:t xml:space="preserve"> 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02EC4">
              <w:rPr>
                <w:rFonts w:ascii="Arial" w:hAnsi="Arial" w:cs="Arial"/>
                <w:b/>
                <w:color w:val="FFFFFF" w:themeColor="background1"/>
              </w:rPr>
              <w:t>PROBLEMAS A RESOLVER: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63045C" w:rsidP="00DA4165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Cuáles son las formas básicas </w:t>
            </w:r>
            <w:r w:rsidR="00C51E21">
              <w:rPr>
                <w:rFonts w:ascii="Arial" w:hAnsi="Arial" w:cs="Arial"/>
                <w:color w:val="0F243E" w:themeColor="text2" w:themeShade="80"/>
              </w:rPr>
              <w:t xml:space="preserve">de solución al conflicto a partir de la autodefensa, autocomposición y heterocomposición, que permita al grupo social alejar la justicia </w:t>
            </w:r>
            <w:r w:rsidR="00C51E21">
              <w:rPr>
                <w:rFonts w:ascii="Arial" w:hAnsi="Arial" w:cs="Arial"/>
                <w:color w:val="0F243E" w:themeColor="text2" w:themeShade="80"/>
              </w:rPr>
              <w:lastRenderedPageBreak/>
              <w:t>por mano propia cono forma para resolver sus conflictos.</w:t>
            </w:r>
            <w:r w:rsidR="00DA4165">
              <w:rPr>
                <w:rFonts w:ascii="Arial" w:hAnsi="Arial" w:cs="Arial"/>
                <w:color w:val="0F243E" w:themeColor="text2" w:themeShade="80"/>
              </w:rPr>
              <w:t xml:space="preserve"> Saber aplicar la estructura de la administración de justicia, dependiendo ello de la clase de conflicto a resolver.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COMPETENCIAS BÁSICAS / ESPECÍFICAS/ ÉNFASIS</w:t>
            </w:r>
            <w:r w:rsidRPr="0053478E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Competencias básicas: </w:t>
            </w:r>
            <w:r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  <w:t>Las competencias básicas son aquellas que permiten poner el acento en aquellos aprendizajes que se consideran imprescindibles.</w:t>
            </w:r>
          </w:p>
          <w:p w:rsidR="00E00D25" w:rsidRDefault="00E00D25" w:rsidP="00CC21F3">
            <w:pPr>
              <w:jc w:val="both"/>
              <w:rPr>
                <w:rFonts w:ascii="Arial" w:hAnsi="Arial" w:cs="Arial"/>
                <w:color w:val="2F2F2F"/>
                <w:sz w:val="18"/>
                <w:szCs w:val="18"/>
                <w:shd w:val="clear" w:color="auto" w:fill="FFFFFF"/>
              </w:rPr>
            </w:pPr>
          </w:p>
          <w:p w:rsidR="00E00D25" w:rsidRPr="00E00D25" w:rsidRDefault="00E00D25" w:rsidP="00CC21F3">
            <w:pPr>
              <w:jc w:val="both"/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2F2F2F"/>
                <w:sz w:val="22"/>
                <w:szCs w:val="22"/>
                <w:shd w:val="clear" w:color="auto" w:fill="FFFFFF"/>
              </w:rPr>
              <w:t>Conocer los primeros fundamentos del derecho procesal, su autonomía frente al derecho sustancial.</w:t>
            </w:r>
          </w:p>
          <w:p w:rsidR="009D3B04" w:rsidRDefault="009D3B04" w:rsidP="00CC21F3">
            <w:pPr>
              <w:jc w:val="both"/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C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>ompetencias</w:t>
            </w:r>
            <w:r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específicas:</w:t>
            </w:r>
            <w:r w:rsidRPr="00EA3F72">
              <w:rPr>
                <w:rFonts w:ascii="Arial" w:hAnsi="Arial" w:cs="Arial"/>
                <w:b/>
                <w:color w:val="2F2F2F"/>
                <w:szCs w:val="18"/>
                <w:shd w:val="clear" w:color="auto" w:fill="FFFFFF"/>
              </w:rPr>
              <w:t xml:space="preserve"> </w:t>
            </w:r>
            <w:r>
              <w:rPr>
                <w:rFonts w:ascii="Verdana" w:hAnsi="Verdana"/>
                <w:color w:val="000000"/>
                <w:sz w:val="17"/>
                <w:szCs w:val="17"/>
                <w:shd w:val="clear" w:color="auto" w:fill="FFFFFF"/>
              </w:rPr>
              <w:t>Son las que están orientadas a habilitar a una  persona para desarrollar funciones productivas propias de una ocupación o funciones comunes a un conjunto de ocupaciones.</w:t>
            </w:r>
          </w:p>
          <w:p w:rsidR="00E00D25" w:rsidRDefault="00E00D25" w:rsidP="00CC21F3">
            <w:pPr>
              <w:jc w:val="both"/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</w:pPr>
          </w:p>
          <w:p w:rsidR="00982433" w:rsidRDefault="00E00D25" w:rsidP="00CC21F3">
            <w:pPr>
              <w:jc w:val="both"/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>Permitir que el futuro abogado conozca cuáles son los principales procedimientos para la solución heterocompositiva de las diversas controversias.</w:t>
            </w:r>
          </w:p>
          <w:p w:rsidR="00E00D25" w:rsidRPr="00E00D25" w:rsidRDefault="00E00D25" w:rsidP="00CC21F3">
            <w:pPr>
              <w:jc w:val="both"/>
              <w:rPr>
                <w:rFonts w:ascii="Arial" w:hAnsi="Arial" w:cs="Arial"/>
                <w:b/>
                <w:color w:val="0F243E" w:themeColor="text2" w:themeShade="80"/>
                <w:sz w:val="22"/>
                <w:szCs w:val="22"/>
              </w:rPr>
            </w:pPr>
            <w:r>
              <w:rPr>
                <w:rFonts w:ascii="Verdana" w:hAnsi="Verdana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F243E" w:themeColor="text2" w:themeShade="80"/>
              </w:rPr>
              <w:t>C</w:t>
            </w:r>
            <w:r w:rsidRPr="004A0A24">
              <w:rPr>
                <w:rFonts w:ascii="Arial" w:hAnsi="Arial" w:cs="Arial"/>
                <w:b/>
                <w:color w:val="0F243E" w:themeColor="text2" w:themeShade="80"/>
              </w:rPr>
              <w:t>ompetencias de énfasis</w:t>
            </w:r>
            <w:r>
              <w:rPr>
                <w:rFonts w:ascii="Arial" w:hAnsi="Arial" w:cs="Arial"/>
                <w:b/>
                <w:color w:val="0F243E" w:themeColor="text2" w:themeShade="80"/>
              </w:rPr>
              <w:t xml:space="preserve">: </w:t>
            </w:r>
            <w:r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  <w:t>otorgan los elementos teóricos, conceptuales para abordar y apropiarse del desarrollo de un proyecto.</w:t>
            </w:r>
          </w:p>
          <w:p w:rsidR="00982433" w:rsidRDefault="00982433" w:rsidP="00CC21F3">
            <w:pPr>
              <w:jc w:val="both"/>
              <w:rPr>
                <w:rFonts w:ascii="Arial" w:hAnsi="Arial" w:cs="Arial"/>
                <w:color w:val="333333"/>
                <w:sz w:val="18"/>
                <w:szCs w:val="18"/>
                <w:shd w:val="clear" w:color="auto" w:fill="FFFFFF"/>
              </w:rPr>
            </w:pPr>
          </w:p>
          <w:p w:rsidR="00982433" w:rsidRPr="00982433" w:rsidRDefault="00982433" w:rsidP="00CC21F3">
            <w:pPr>
              <w:jc w:val="both"/>
              <w:rPr>
                <w:rFonts w:ascii="Arial" w:hAnsi="Arial" w:cs="Arial"/>
                <w:color w:val="0F243E" w:themeColor="text2" w:themeShade="80"/>
                <w:sz w:val="22"/>
                <w:szCs w:val="22"/>
              </w:rPr>
            </w:pPr>
            <w:r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 xml:space="preserve">Disponer de los fundamentos necesarios y diferenciados que le permita al futuro abogado a partir de un conocimiento general, diferenciar las distintas jurisdicciones y </w:t>
            </w:r>
            <w:r w:rsidR="00BF0E26">
              <w:rPr>
                <w:rFonts w:ascii="Arial" w:hAnsi="Arial" w:cs="Arial"/>
                <w:color w:val="333333"/>
                <w:sz w:val="22"/>
                <w:szCs w:val="22"/>
                <w:shd w:val="clear" w:color="auto" w:fill="FFFFFF"/>
              </w:rPr>
              <w:t>especialidades jurisdiccionales, así estar en capacidad de conocer los diferentes procedimientos atendiendo la clase de conflicto a solucionar.</w:t>
            </w:r>
          </w:p>
          <w:p w:rsidR="009D3B04" w:rsidRDefault="009D3B04" w:rsidP="00CC21F3">
            <w:pPr>
              <w:jc w:val="both"/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DISCIPLINAS QUE SE INTEGRAN</w:t>
            </w:r>
            <w:r w:rsidRPr="004E03C5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004D0A" w:rsidRDefault="00004D0A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Los derechos Constitucional, sustancial, procesal propiamente dicho y derecho comparado.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p w:rsidR="00B3659A" w:rsidRDefault="00B3659A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5307D9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CONTENIDOS PROGRAMÁTICOS:</w:t>
            </w:r>
          </w:p>
        </w:tc>
      </w:tr>
      <w:tr w:rsidR="009D3B04" w:rsidTr="005307D9">
        <w:trPr>
          <w:trHeight w:val="417"/>
        </w:trPr>
        <w:tc>
          <w:tcPr>
            <w:tcW w:w="9740" w:type="dxa"/>
          </w:tcPr>
          <w:p w:rsidR="009D3B04" w:rsidRDefault="00004D0A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 base fundamental y estructural de la asignatura se establece a partir de:</w:t>
            </w:r>
          </w:p>
          <w:p w:rsidR="00004D0A" w:rsidRDefault="00004D0A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004D0A" w:rsidRDefault="00004D0A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1.- Formas de solución al conflicto.</w:t>
            </w:r>
          </w:p>
          <w:p w:rsidR="00004D0A" w:rsidRDefault="00004D0A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2.- </w:t>
            </w:r>
            <w:r w:rsidR="002106D1">
              <w:rPr>
                <w:rFonts w:ascii="Arial" w:hAnsi="Arial" w:cs="Arial"/>
                <w:color w:val="0F243E" w:themeColor="text2" w:themeShade="80"/>
              </w:rPr>
              <w:t>Principios Constitucionales inherentes al proceso.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3.- Principios fundamentales del derecho procesal.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4.-. Reglas técnicas de procedimiento.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lastRenderedPageBreak/>
              <w:t>5.- Sistemas inquisitivo, acusatorio y actual sistema mixto.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6.- Ley procesal en el tiempo y el espacio.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7.- Función judicial.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8.- Jurisdicción y competencia.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9.- Acción y contradicción.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10.- Pretensión y excepción.</w:t>
            </w:r>
          </w:p>
          <w:p w:rsidR="002106D1" w:rsidRDefault="002106D1" w:rsidP="005307D9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11.- Acusación y defensa.</w:t>
            </w:r>
          </w:p>
          <w:p w:rsidR="005307D9" w:rsidRDefault="005307D9" w:rsidP="005307D9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5307D9" w:rsidTr="00E525ED">
        <w:tc>
          <w:tcPr>
            <w:tcW w:w="9740" w:type="dxa"/>
            <w:shd w:val="clear" w:color="auto" w:fill="365F91" w:themeFill="accent1" w:themeFillShade="BF"/>
          </w:tcPr>
          <w:p w:rsidR="005307D9" w:rsidRPr="00030862" w:rsidRDefault="005307D9" w:rsidP="00E525ED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TEORÍAS Y CONCEPTOS</w:t>
            </w:r>
            <w:r w:rsidRPr="006D5D86">
              <w:rPr>
                <w:rFonts w:ascii="Arial" w:hAnsi="Arial" w:cs="Arial"/>
                <w:b/>
                <w:color w:val="FFFFFF" w:themeColor="background1"/>
              </w:rPr>
              <w:t>:</w:t>
            </w:r>
          </w:p>
        </w:tc>
      </w:tr>
      <w:tr w:rsidR="005307D9" w:rsidTr="00E525ED">
        <w:tc>
          <w:tcPr>
            <w:tcW w:w="9740" w:type="dxa"/>
          </w:tcPr>
          <w:p w:rsidR="005307D9" w:rsidRDefault="005307D9" w:rsidP="00E525ED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5307D9" w:rsidRDefault="009D702D" w:rsidP="00E525ED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Las diferentes escuelas tanto continentales como anglo-sajonas que han regido y nutrido el derecho procesal desde la antigua Roma.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METODOLOGÍA: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702D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Esta primera aproximación al conocimiento del derecho procesal se aborda a partir de la clase magistral, posterior su aplicación a partir del estudio por casos.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4A3921" w:rsidRDefault="009D3B04" w:rsidP="00CC21F3">
            <w:pPr>
              <w:rPr>
                <w:rFonts w:ascii="Arial" w:hAnsi="Arial" w:cs="Arial"/>
                <w:b/>
                <w:color w:val="FFFFFF" w:themeColor="background1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EVALUACIÓN: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Default="009D702D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A partir del concepto de coevaluación  en el curso del semestre </w:t>
            </w:r>
            <w:r w:rsidR="00FB20DC">
              <w:rPr>
                <w:rFonts w:ascii="Arial" w:hAnsi="Arial" w:cs="Arial"/>
                <w:color w:val="0F243E" w:themeColor="text2" w:themeShade="80"/>
              </w:rPr>
              <w:t>se practican al menos tres pruebas teórico prácticas.</w:t>
            </w:r>
          </w:p>
        </w:tc>
      </w:tr>
    </w:tbl>
    <w:p w:rsidR="009D3B04" w:rsidRDefault="009D3B04" w:rsidP="009D3B04">
      <w:pPr>
        <w:rPr>
          <w:rFonts w:ascii="Arial" w:hAnsi="Arial" w:cs="Arial"/>
          <w:color w:val="0F243E" w:themeColor="text2" w:themeShade="8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D3B04" w:rsidTr="00CC21F3">
        <w:tc>
          <w:tcPr>
            <w:tcW w:w="9740" w:type="dxa"/>
            <w:shd w:val="clear" w:color="auto" w:fill="365F91" w:themeFill="accent1" w:themeFillShade="BF"/>
          </w:tcPr>
          <w:p w:rsidR="009D3B04" w:rsidRPr="00030862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4A3921">
              <w:rPr>
                <w:rFonts w:ascii="Arial" w:hAnsi="Arial" w:cs="Arial"/>
                <w:b/>
                <w:color w:val="FFFFFF" w:themeColor="background1"/>
              </w:rPr>
              <w:t>RECURSOS :</w:t>
            </w: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7F40E6">
              <w:rPr>
                <w:rFonts w:ascii="Arial" w:hAnsi="Arial" w:cs="Arial"/>
                <w:b/>
                <w:color w:val="0F243E" w:themeColor="text2" w:themeShade="80"/>
              </w:rPr>
              <w:t>BIBLIOGRAFÍA BÁSICA Y COMPLEMENTARIA</w:t>
            </w:r>
          </w:p>
          <w:p w:rsidR="00FB20DC" w:rsidRDefault="00FB20D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AZULA CAMACHO, Jaime. Teoría General del Proceso. Tomo I</w:t>
            </w:r>
          </w:p>
          <w:p w:rsid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DEVIS ECHANDÍA, Hernando. Teoría General del Proceso. Tomo I</w:t>
            </w:r>
          </w:p>
          <w:p w:rsid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VÉSCOVI, Enrique. Teoría General del Proceso. Uruguay.</w:t>
            </w:r>
          </w:p>
          <w:p w:rsidR="00FB20DC" w:rsidRP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  <w:p w:rsidR="009D3B04" w:rsidRPr="007F40E6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 xml:space="preserve">MEDIOS Y RECURSOS 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SOFTWARE /AULAS VIRTUALES / ESPACIOS ELECTRÓNICOS</w:t>
            </w:r>
          </w:p>
          <w:p w:rsidR="00FB20DC" w:rsidRDefault="00FB20D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B20DC" w:rsidRP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www.icdp.org.co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LABOR</w:t>
            </w:r>
            <w:r w:rsidR="001045BF">
              <w:rPr>
                <w:rFonts w:ascii="Arial" w:hAnsi="Arial" w:cs="Arial"/>
                <w:b/>
                <w:color w:val="0F243E" w:themeColor="text2" w:themeShade="80"/>
              </w:rPr>
              <w:t>A</w:t>
            </w: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t>TORIOS Y/O SITIOS DE PRÁCTICA</w:t>
            </w:r>
          </w:p>
          <w:p w:rsidR="00FB20DC" w:rsidRDefault="00FB20D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B20DC" w:rsidRP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El aula de clase.  Proceso simulado.</w:t>
            </w:r>
          </w:p>
          <w:p w:rsidR="009D3B04" w:rsidRPr="00C6539E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</w:tc>
      </w:tr>
      <w:tr w:rsidR="009D3B04" w:rsidTr="00CC21F3">
        <w:tc>
          <w:tcPr>
            <w:tcW w:w="9740" w:type="dxa"/>
          </w:tcPr>
          <w:p w:rsidR="009D3B04" w:rsidRDefault="009D3B04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  <w:r w:rsidRPr="00C6539E">
              <w:rPr>
                <w:rFonts w:ascii="Arial" w:hAnsi="Arial" w:cs="Arial"/>
                <w:b/>
                <w:color w:val="0F243E" w:themeColor="text2" w:themeShade="80"/>
              </w:rPr>
              <w:lastRenderedPageBreak/>
              <w:t>EQUIPOS Y MATERIALES</w:t>
            </w:r>
          </w:p>
          <w:p w:rsidR="00FB20DC" w:rsidRDefault="00FB20DC" w:rsidP="00CC21F3">
            <w:pPr>
              <w:rPr>
                <w:rFonts w:ascii="Arial" w:hAnsi="Arial" w:cs="Arial"/>
                <w:b/>
                <w:color w:val="0F243E" w:themeColor="text2" w:themeShade="80"/>
              </w:rPr>
            </w:pPr>
          </w:p>
          <w:p w:rsid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 xml:space="preserve">Audiovisuales. </w:t>
            </w:r>
          </w:p>
          <w:p w:rsidR="00FB20DC" w:rsidRPr="00FB20DC" w:rsidRDefault="00FB20DC" w:rsidP="00CC21F3">
            <w:pPr>
              <w:rPr>
                <w:rFonts w:ascii="Arial" w:hAnsi="Arial" w:cs="Arial"/>
                <w:color w:val="0F243E" w:themeColor="text2" w:themeShade="80"/>
              </w:rPr>
            </w:pPr>
            <w:r>
              <w:rPr>
                <w:rFonts w:ascii="Arial" w:hAnsi="Arial" w:cs="Arial"/>
                <w:color w:val="0F243E" w:themeColor="text2" w:themeShade="80"/>
              </w:rPr>
              <w:t>Estudio de providencias judiciales.</w:t>
            </w:r>
          </w:p>
          <w:p w:rsidR="009D3B04" w:rsidRDefault="009D3B04" w:rsidP="00CC21F3">
            <w:pPr>
              <w:rPr>
                <w:rFonts w:ascii="Arial" w:hAnsi="Arial" w:cs="Arial"/>
                <w:color w:val="0F243E" w:themeColor="text2" w:themeShade="80"/>
              </w:rPr>
            </w:pPr>
          </w:p>
        </w:tc>
      </w:tr>
    </w:tbl>
    <w:p w:rsidR="009D3B04" w:rsidRPr="0086312B" w:rsidRDefault="009D3B04" w:rsidP="009D3B04">
      <w:pPr>
        <w:rPr>
          <w:rFonts w:ascii="Arial" w:hAnsi="Arial" w:cs="Arial"/>
          <w:color w:val="0F243E" w:themeColor="text2" w:themeShade="80"/>
        </w:rPr>
      </w:pPr>
    </w:p>
    <w:p w:rsidR="00373F2F" w:rsidRPr="009D3B04" w:rsidRDefault="00373F2F" w:rsidP="009D3B04"/>
    <w:sectPr w:rsidR="00373F2F" w:rsidRPr="009D3B04" w:rsidSect="00F60130">
      <w:headerReference w:type="even" r:id="rId9"/>
      <w:headerReference w:type="default" r:id="rId10"/>
      <w:footerReference w:type="default" r:id="rId11"/>
      <w:headerReference w:type="first" r:id="rId12"/>
      <w:pgSz w:w="12240" w:h="15840"/>
      <w:pgMar w:top="2127" w:right="1701" w:bottom="170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0EA" w:rsidRDefault="00EB30EA">
      <w:r>
        <w:separator/>
      </w:r>
    </w:p>
  </w:endnote>
  <w:endnote w:type="continuationSeparator" w:id="0">
    <w:p w:rsidR="00EB30EA" w:rsidRDefault="00EB3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Piedepgina"/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3077B4" wp14:editId="696CD7C1">
              <wp:simplePos x="0" y="0"/>
              <wp:positionH relativeFrom="column">
                <wp:posOffset>551702</wp:posOffset>
              </wp:positionH>
              <wp:positionV relativeFrom="paragraph">
                <wp:posOffset>-320184</wp:posOffset>
              </wp:positionV>
              <wp:extent cx="4004310" cy="831850"/>
              <wp:effectExtent l="0" t="0" r="0" b="6350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4310" cy="8318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Sede Centro,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Cll 19 Nº 11 - 64</w:t>
                          </w: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  Sede Campus: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Av. Universitaria Cll. 48 No. 1-235 este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 xml:space="preserve">Santoto Librería </w:t>
                          </w:r>
                          <w:r w:rsidRPr="00F60130"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Local 1-106. Centro Comercial UNICENTRO</w:t>
                          </w:r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r w:rsidRPr="00F60130"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  <w:t>PBX: (8) 744 04 04 / Línea Nacional: 018000932340</w:t>
                          </w:r>
                        </w:p>
                        <w:p w:rsidR="00133C1C" w:rsidRPr="00F60130" w:rsidRDefault="00EB30EA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</w:p>
                        <w:p w:rsidR="00133C1C" w:rsidRDefault="00EB30EA" w:rsidP="00F60130">
                          <w:pPr>
                            <w:jc w:val="center"/>
                            <w:rPr>
                              <w:rFonts w:ascii="Myriad Pro" w:hAnsi="Myriad Pro"/>
                              <w:b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="009D3B04" w:rsidRPr="004B6B71">
                              <w:rPr>
                                <w:rStyle w:val="Hipervnculo"/>
                                <w:rFonts w:ascii="Myriad Pro" w:hAnsi="Myriad Pro"/>
                                <w:b/>
                                <w:sz w:val="16"/>
                                <w:szCs w:val="16"/>
                              </w:rPr>
                              <w:t>www.ustatunja.edu.co</w:t>
                            </w:r>
                          </w:hyperlink>
                        </w:p>
                        <w:p w:rsidR="00133C1C" w:rsidRPr="00F60130" w:rsidRDefault="009D3B04" w:rsidP="00F60130">
                          <w:pPr>
                            <w:jc w:val="center"/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Myriad Pro" w:hAnsi="Myriad Pro"/>
                              <w:sz w:val="16"/>
                              <w:szCs w:val="16"/>
                            </w:rPr>
                            <w:t>Tunja, Boyacá, Colombia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.45pt;margin-top:-25.2pt;width:315.3pt;height:65.5pt;z-index:2516623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" filled="f" stroked="f">
              <v:textbox style="mso-fit-shape-to-text:t">
                <w:txbxContent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Sede Centro,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 19 Nº 11 - 64</w:t>
                    </w: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 Sede Campus: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Av. Universitaria </w:t>
                    </w:r>
                    <w:proofErr w:type="spellStart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Cll</w:t>
                    </w:r>
                    <w:proofErr w:type="spellEnd"/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. 48 No. 1-235 este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proofErr w:type="spellStart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Santoto</w:t>
                    </w:r>
                    <w:proofErr w:type="spellEnd"/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 xml:space="preserve"> Librería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 xml:space="preserve">Local 1-106. Centro Comercial </w:t>
                    </w:r>
                    <w:r w:rsidRPr="00F60130">
                      <w:rPr>
                        <w:rFonts w:ascii="Myriad Pro" w:hAnsi="Myriad Pro"/>
                        <w:sz w:val="16"/>
                        <w:szCs w:val="16"/>
                      </w:rPr>
                      <w:t>UNICENTRO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r w:rsidRPr="00F60130"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  <w:t>PBX: (8) 744 04 04 / Línea Nacional: 018000932340</w:t>
                    </w:r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</w:p>
                  <w:p w:rsidR="00133C1C" w:rsidRDefault="009D3B04" w:rsidP="00F60130">
                    <w:pPr>
                      <w:jc w:val="center"/>
                      <w:rPr>
                        <w:rFonts w:ascii="Myriad Pro" w:hAnsi="Myriad Pro"/>
                        <w:b/>
                        <w:sz w:val="16"/>
                        <w:szCs w:val="16"/>
                      </w:rPr>
                    </w:pPr>
                    <w:hyperlink r:id="rId2" w:history="1">
                      <w:r w:rsidRPr="004B6B71">
                        <w:rPr>
                          <w:rStyle w:val="Hipervnculo"/>
                          <w:rFonts w:ascii="Myriad Pro" w:hAnsi="Myriad Pro"/>
                          <w:b/>
                          <w:sz w:val="16"/>
                          <w:szCs w:val="16"/>
                        </w:rPr>
                        <w:t>www.ustatunja.edu.co</w:t>
                      </w:r>
                    </w:hyperlink>
                  </w:p>
                  <w:p w:rsidR="00133C1C" w:rsidRPr="00F60130" w:rsidRDefault="009D3B04" w:rsidP="00F60130">
                    <w:pPr>
                      <w:jc w:val="center"/>
                      <w:rPr>
                        <w:rFonts w:ascii="Myriad Pro" w:hAnsi="Myriad Pro"/>
                        <w:sz w:val="16"/>
                        <w:szCs w:val="16"/>
                      </w:rPr>
                    </w:pPr>
                    <w:r>
                      <w:rPr>
                        <w:rFonts w:ascii="Myriad Pro" w:hAnsi="Myriad Pro"/>
                        <w:sz w:val="16"/>
                        <w:szCs w:val="16"/>
                      </w:rPr>
                      <w:t>Tunja, Boyacá, Colombia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0EA" w:rsidRDefault="00EB30EA">
      <w:r>
        <w:separator/>
      </w:r>
    </w:p>
  </w:footnote>
  <w:footnote w:type="continuationSeparator" w:id="0">
    <w:p w:rsidR="00EB30EA" w:rsidRDefault="00EB3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B30EA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8" o:spid="_x0000_s2050" type="#_x0000_t75" style="position:absolute;margin-left:0;margin-top:0;width:591.25pt;height:788.35pt;z-index:-251656192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9D3B04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1312" behindDoc="1" locked="0" layoutInCell="1" allowOverlap="1" wp14:anchorId="38055A05" wp14:editId="405B3C98">
          <wp:simplePos x="0" y="0"/>
          <wp:positionH relativeFrom="column">
            <wp:posOffset>-1086486</wp:posOffset>
          </wp:positionH>
          <wp:positionV relativeFrom="paragraph">
            <wp:posOffset>-467826</wp:posOffset>
          </wp:positionV>
          <wp:extent cx="7784537" cy="10073744"/>
          <wp:effectExtent l="0" t="0" r="0" b="1016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bretes_v4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84817" cy="100741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3C1C" w:rsidRDefault="00EB30EA">
    <w:pPr>
      <w:pStyle w:val="Encabezado"/>
    </w:pPr>
    <w:r>
      <w:rPr>
        <w:noProof/>
        <w:lang w:eastAsia="es-CO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981587" o:spid="_x0000_s2049" type="#_x0000_t75" style="position:absolute;margin-left:0;margin-top:0;width:591.25pt;height:788.35pt;z-index:-251657216;mso-position-horizontal:center;mso-position-horizontal-relative:margin;mso-position-vertical:center;mso-position-vertical-relative:margin" o:allowincell="f">
          <v:imagedata r:id="rId1" o:title="membretes_v4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66384"/>
    <w:multiLevelType w:val="multilevel"/>
    <w:tmpl w:val="235CC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63B3DCC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70C7C98"/>
    <w:multiLevelType w:val="hybridMultilevel"/>
    <w:tmpl w:val="B5621E14"/>
    <w:lvl w:ilvl="0" w:tplc="644EA4F6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631292"/>
    <w:multiLevelType w:val="hybridMultilevel"/>
    <w:tmpl w:val="D5B070D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A71D76"/>
    <w:multiLevelType w:val="hybridMultilevel"/>
    <w:tmpl w:val="2F30B20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627E0F"/>
    <w:multiLevelType w:val="hybridMultilevel"/>
    <w:tmpl w:val="81E46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945F1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3231EC"/>
    <w:multiLevelType w:val="hybridMultilevel"/>
    <w:tmpl w:val="B0A2BC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787468"/>
    <w:multiLevelType w:val="multilevel"/>
    <w:tmpl w:val="2138C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59F08BD"/>
    <w:multiLevelType w:val="hybridMultilevel"/>
    <w:tmpl w:val="AE406E88"/>
    <w:lvl w:ilvl="0" w:tplc="CC6A79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F2FFB"/>
    <w:multiLevelType w:val="multilevel"/>
    <w:tmpl w:val="B9602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BC42C30"/>
    <w:multiLevelType w:val="hybridMultilevel"/>
    <w:tmpl w:val="F68AC93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4D4774"/>
    <w:multiLevelType w:val="multilevel"/>
    <w:tmpl w:val="D3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8240D0A"/>
    <w:multiLevelType w:val="multilevel"/>
    <w:tmpl w:val="BEA45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971634C"/>
    <w:multiLevelType w:val="multilevel"/>
    <w:tmpl w:val="2CC03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9982EA8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A04FA2"/>
    <w:multiLevelType w:val="hybridMultilevel"/>
    <w:tmpl w:val="A22AA02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E46384A"/>
    <w:multiLevelType w:val="hybridMultilevel"/>
    <w:tmpl w:val="32AECDA8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7670E6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9B5A6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F10F95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623685F"/>
    <w:multiLevelType w:val="hybridMultilevel"/>
    <w:tmpl w:val="8B2A2E04"/>
    <w:lvl w:ilvl="0" w:tplc="BE6E3D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356E1E"/>
    <w:multiLevelType w:val="hybridMultilevel"/>
    <w:tmpl w:val="169CB272"/>
    <w:lvl w:ilvl="0" w:tplc="0FEC470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FA666C"/>
    <w:multiLevelType w:val="hybridMultilevel"/>
    <w:tmpl w:val="FAEA7642"/>
    <w:lvl w:ilvl="0" w:tplc="D0FC0F2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C63F0D"/>
    <w:multiLevelType w:val="hybridMultilevel"/>
    <w:tmpl w:val="134CBD54"/>
    <w:lvl w:ilvl="0" w:tplc="EBA0DAA8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5B248CE"/>
    <w:multiLevelType w:val="hybridMultilevel"/>
    <w:tmpl w:val="6570FFA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082798"/>
    <w:multiLevelType w:val="hybridMultilevel"/>
    <w:tmpl w:val="97D0A6EE"/>
    <w:lvl w:ilvl="0" w:tplc="F58E12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3D5213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>
    <w:nsid w:val="62D6712F"/>
    <w:multiLevelType w:val="hybridMultilevel"/>
    <w:tmpl w:val="964413A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BA057D"/>
    <w:multiLevelType w:val="multilevel"/>
    <w:tmpl w:val="6C6264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89440C2"/>
    <w:multiLevelType w:val="hybridMultilevel"/>
    <w:tmpl w:val="D05CD55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E02AB1"/>
    <w:multiLevelType w:val="hybridMultilevel"/>
    <w:tmpl w:val="755604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7A400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>
    <w:nsid w:val="71871991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A2E4E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435AE"/>
    <w:multiLevelType w:val="multilevel"/>
    <w:tmpl w:val="054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7B221C66"/>
    <w:multiLevelType w:val="hybridMultilevel"/>
    <w:tmpl w:val="115E821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8B5D28"/>
    <w:multiLevelType w:val="multilevel"/>
    <w:tmpl w:val="8E828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8"/>
      <w:numFmt w:val="decimal"/>
      <w:isLgl/>
      <w:lvlText w:val="%1.%2"/>
      <w:lvlJc w:val="left"/>
      <w:pPr>
        <w:ind w:left="1305" w:hanging="945"/>
      </w:pPr>
      <w:rPr>
        <w:rFonts w:hint="default"/>
      </w:rPr>
    </w:lvl>
    <w:lvl w:ilvl="2">
      <w:start w:val="210"/>
      <w:numFmt w:val="decimal"/>
      <w:isLgl/>
      <w:lvlText w:val="%1.%2.%3"/>
      <w:lvlJc w:val="left"/>
      <w:pPr>
        <w:ind w:left="1371" w:hanging="9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05" w:hanging="9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8">
    <w:nsid w:val="7E820560"/>
    <w:multiLevelType w:val="hybridMultilevel"/>
    <w:tmpl w:val="C8C26F0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AE0304"/>
    <w:multiLevelType w:val="hybridMultilevel"/>
    <w:tmpl w:val="B0FC40C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1"/>
  </w:num>
  <w:num w:numId="3">
    <w:abstractNumId w:val="28"/>
  </w:num>
  <w:num w:numId="4">
    <w:abstractNumId w:val="39"/>
  </w:num>
  <w:num w:numId="5">
    <w:abstractNumId w:val="32"/>
  </w:num>
  <w:num w:numId="6">
    <w:abstractNumId w:val="21"/>
  </w:num>
  <w:num w:numId="7">
    <w:abstractNumId w:val="36"/>
  </w:num>
  <w:num w:numId="8">
    <w:abstractNumId w:val="26"/>
  </w:num>
  <w:num w:numId="9">
    <w:abstractNumId w:val="4"/>
  </w:num>
  <w:num w:numId="10">
    <w:abstractNumId w:val="25"/>
  </w:num>
  <w:num w:numId="11">
    <w:abstractNumId w:val="11"/>
  </w:num>
  <w:num w:numId="12">
    <w:abstractNumId w:val="7"/>
  </w:num>
  <w:num w:numId="13">
    <w:abstractNumId w:val="37"/>
  </w:num>
  <w:num w:numId="14">
    <w:abstractNumId w:val="27"/>
  </w:num>
  <w:num w:numId="15">
    <w:abstractNumId w:val="5"/>
  </w:num>
  <w:num w:numId="16">
    <w:abstractNumId w:val="23"/>
  </w:num>
  <w:num w:numId="17">
    <w:abstractNumId w:val="20"/>
  </w:num>
  <w:num w:numId="18">
    <w:abstractNumId w:val="38"/>
  </w:num>
  <w:num w:numId="19">
    <w:abstractNumId w:val="34"/>
  </w:num>
  <w:num w:numId="20">
    <w:abstractNumId w:val="19"/>
  </w:num>
  <w:num w:numId="21">
    <w:abstractNumId w:val="33"/>
  </w:num>
  <w:num w:numId="22">
    <w:abstractNumId w:val="6"/>
  </w:num>
  <w:num w:numId="23">
    <w:abstractNumId w:val="18"/>
  </w:num>
  <w:num w:numId="24">
    <w:abstractNumId w:val="22"/>
  </w:num>
  <w:num w:numId="25">
    <w:abstractNumId w:val="17"/>
  </w:num>
  <w:num w:numId="26">
    <w:abstractNumId w:val="24"/>
  </w:num>
  <w:num w:numId="27">
    <w:abstractNumId w:val="1"/>
  </w:num>
  <w:num w:numId="28">
    <w:abstractNumId w:val="2"/>
  </w:num>
  <w:num w:numId="29">
    <w:abstractNumId w:val="9"/>
  </w:num>
  <w:num w:numId="30">
    <w:abstractNumId w:val="3"/>
  </w:num>
  <w:num w:numId="31">
    <w:abstractNumId w:val="30"/>
  </w:num>
  <w:num w:numId="32">
    <w:abstractNumId w:val="29"/>
  </w:num>
  <w:num w:numId="33">
    <w:abstractNumId w:val="12"/>
  </w:num>
  <w:num w:numId="34">
    <w:abstractNumId w:val="13"/>
  </w:num>
  <w:num w:numId="35">
    <w:abstractNumId w:val="0"/>
  </w:num>
  <w:num w:numId="36">
    <w:abstractNumId w:val="35"/>
  </w:num>
  <w:num w:numId="37">
    <w:abstractNumId w:val="14"/>
  </w:num>
  <w:num w:numId="38">
    <w:abstractNumId w:val="8"/>
  </w:num>
  <w:num w:numId="39">
    <w:abstractNumId w:val="10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B04"/>
    <w:rsid w:val="00004D0A"/>
    <w:rsid w:val="000626A7"/>
    <w:rsid w:val="00102DBF"/>
    <w:rsid w:val="001045BF"/>
    <w:rsid w:val="002106D1"/>
    <w:rsid w:val="00373F2F"/>
    <w:rsid w:val="004752E6"/>
    <w:rsid w:val="005307D9"/>
    <w:rsid w:val="00535513"/>
    <w:rsid w:val="00610494"/>
    <w:rsid w:val="0063045C"/>
    <w:rsid w:val="006A4B20"/>
    <w:rsid w:val="006E3476"/>
    <w:rsid w:val="006F1A37"/>
    <w:rsid w:val="00764DF0"/>
    <w:rsid w:val="007B7482"/>
    <w:rsid w:val="009431FC"/>
    <w:rsid w:val="00982433"/>
    <w:rsid w:val="009D3B04"/>
    <w:rsid w:val="009D702D"/>
    <w:rsid w:val="00A00901"/>
    <w:rsid w:val="00B329A3"/>
    <w:rsid w:val="00B3659A"/>
    <w:rsid w:val="00BF0E26"/>
    <w:rsid w:val="00C51E21"/>
    <w:rsid w:val="00C56970"/>
    <w:rsid w:val="00CC116E"/>
    <w:rsid w:val="00D07D25"/>
    <w:rsid w:val="00DA4165"/>
    <w:rsid w:val="00E00D25"/>
    <w:rsid w:val="00E91A8F"/>
    <w:rsid w:val="00E978F2"/>
    <w:rsid w:val="00EB30EA"/>
    <w:rsid w:val="00F26635"/>
    <w:rsid w:val="00F40713"/>
    <w:rsid w:val="00F82DE4"/>
    <w:rsid w:val="00FA1F96"/>
    <w:rsid w:val="00FB20DC"/>
    <w:rsid w:val="00FE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3B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FE7F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9D3B04"/>
  </w:style>
  <w:style w:type="paragraph" w:styleId="Piedepgina">
    <w:name w:val="footer"/>
    <w:basedOn w:val="Normal"/>
    <w:link w:val="PiedepginaCar"/>
    <w:uiPriority w:val="99"/>
    <w:unhideWhenUsed/>
    <w:rsid w:val="009D3B04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D3B04"/>
  </w:style>
  <w:style w:type="paragraph" w:styleId="Textodeglobo">
    <w:name w:val="Balloon Text"/>
    <w:basedOn w:val="Normal"/>
    <w:link w:val="TextodegloboCar"/>
    <w:uiPriority w:val="99"/>
    <w:semiHidden/>
    <w:unhideWhenUsed/>
    <w:rsid w:val="009D3B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B04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D3B04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9D3B0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O" w:eastAsia="en-US"/>
    </w:rPr>
  </w:style>
  <w:style w:type="paragraph" w:styleId="Sinespaciado">
    <w:name w:val="No Spacing"/>
    <w:uiPriority w:val="1"/>
    <w:qFormat/>
    <w:rsid w:val="009D3B04"/>
    <w:pPr>
      <w:spacing w:after="0" w:line="240" w:lineRule="auto"/>
    </w:pPr>
    <w:rPr>
      <w:rFonts w:ascii="Calibri" w:eastAsia="Calibri" w:hAnsi="Calibri" w:cs="Times New Roman"/>
    </w:rPr>
  </w:style>
  <w:style w:type="table" w:styleId="Tablaconcuadrcula">
    <w:name w:val="Table Grid"/>
    <w:basedOn w:val="Tablanormal"/>
    <w:uiPriority w:val="59"/>
    <w:rsid w:val="009D3B04"/>
    <w:pPr>
      <w:spacing w:after="0" w:line="240" w:lineRule="auto"/>
    </w:pPr>
    <w:rPr>
      <w:lang w:val="es-A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ar">
    <w:name w:val="Título 1 Car"/>
    <w:basedOn w:val="Fuentedeprrafopredeter"/>
    <w:link w:val="Ttulo1"/>
    <w:uiPriority w:val="9"/>
    <w:rsid w:val="00FE7F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ustatunja.edu.co" TargetMode="External"/><Relationship Id="rId1" Type="http://schemas.openxmlformats.org/officeDocument/2006/relationships/hyperlink" Target="http://www.ustatunja.edu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F871D6-C8CA-44A7-9C86-3E8BEEDCA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864</Words>
  <Characters>4757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DesarrolloCurricular</dc:creator>
  <cp:lastModifiedBy>mariacastro</cp:lastModifiedBy>
  <cp:revision>2</cp:revision>
  <dcterms:created xsi:type="dcterms:W3CDTF">2015-11-10T13:55:00Z</dcterms:created>
  <dcterms:modified xsi:type="dcterms:W3CDTF">2015-11-10T13:55:00Z</dcterms:modified>
</cp:coreProperties>
</file>